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33691E">
        <w:rPr>
          <w:b/>
          <w:sz w:val="28"/>
          <w:szCs w:val="28"/>
        </w:rPr>
        <w:t xml:space="preserve">                    Yenievler</w:t>
      </w:r>
      <w:r w:rsidRPr="000975EA">
        <w:rPr>
          <w:b/>
          <w:sz w:val="28"/>
          <w:szCs w:val="28"/>
        </w:rPr>
        <w:t xml:space="preserve">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6525EF">
        <w:t>8 (sekiz</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33691E">
        <w:t>Yenievler İlkokulu</w:t>
      </w:r>
      <w:r w:rsidR="00B744C0">
        <w:t xml:space="preserve"> Müdürlüğü </w:t>
      </w:r>
      <w:r w:rsidRPr="00904B8E">
        <w:t>kurumsal kimliğine uy</w:t>
      </w:r>
      <w:r w:rsidR="000B1975">
        <w:t>gu</w:t>
      </w:r>
      <w:r w:rsidR="004415E0">
        <w:t xml:space="preserve">n </w:t>
      </w:r>
      <w:r w:rsidR="006525EF">
        <w:t>olarak çeşitli özelliklerde 8(sekiz</w:t>
      </w:r>
      <w:r w:rsidR="000B1975">
        <w:t xml:space="preserve">) </w:t>
      </w:r>
      <w:r w:rsidR="00C51C8C" w:rsidRPr="00F33BAC">
        <w: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3691E">
        <w:t>Yenievler 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33691E">
        <w:t>Yenievler İlkokulu Müdürlüğü</w:t>
      </w:r>
      <w:r w:rsidR="0033691E" w:rsidRPr="00904B8E">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horzAnchor="margin" w:tblpXSpec="center" w:tblpY="252"/>
        <w:tblW w:w="9993" w:type="dxa"/>
        <w:tblCellMar>
          <w:left w:w="70" w:type="dxa"/>
          <w:right w:w="70" w:type="dxa"/>
        </w:tblCellMar>
        <w:tblLook w:val="04A0" w:firstRow="1" w:lastRow="0" w:firstColumn="1" w:lastColumn="0" w:noHBand="0" w:noVBand="1"/>
      </w:tblPr>
      <w:tblGrid>
        <w:gridCol w:w="802"/>
        <w:gridCol w:w="1042"/>
        <w:gridCol w:w="1042"/>
        <w:gridCol w:w="3511"/>
        <w:gridCol w:w="3093"/>
        <w:gridCol w:w="581"/>
      </w:tblGrid>
      <w:tr w:rsidR="00B01505" w:rsidRPr="00492BED" w:rsidTr="00B01505">
        <w:trPr>
          <w:trHeight w:val="342"/>
        </w:trPr>
        <w:tc>
          <w:tcPr>
            <w:tcW w:w="1844"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 xml:space="preserve">                                                        Satın Alınacak Malın / Hizmetin</w:t>
            </w:r>
          </w:p>
        </w:tc>
        <w:tc>
          <w:tcPr>
            <w:tcW w:w="7646" w:type="dxa"/>
            <w:gridSpan w:val="3"/>
            <w:tcBorders>
              <w:top w:val="single" w:sz="4" w:space="0" w:color="auto"/>
              <w:left w:val="nil"/>
              <w:bottom w:val="single" w:sz="4" w:space="0" w:color="auto"/>
              <w:right w:val="nil"/>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SATIN ALINACAK MALIN  / HİZMETİN / YAPIM İŞİNİN</w:t>
            </w:r>
          </w:p>
        </w:tc>
        <w:tc>
          <w:tcPr>
            <w:tcW w:w="503" w:type="dxa"/>
            <w:tcBorders>
              <w:top w:val="single" w:sz="4" w:space="0" w:color="auto"/>
              <w:left w:val="nil"/>
              <w:bottom w:val="single" w:sz="4" w:space="0" w:color="auto"/>
              <w:right w:val="nil"/>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435"/>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16"/>
                <w:szCs w:val="16"/>
              </w:rPr>
            </w:pPr>
            <w:r w:rsidRPr="00492BED">
              <w:rPr>
                <w:rFonts w:ascii="Arial TUR" w:hAnsi="Arial TUR" w:cs="Arial TUR"/>
                <w:sz w:val="16"/>
                <w:szCs w:val="16"/>
              </w:rPr>
              <w:t>S.NO</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Cinsi</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Özellikleri</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18"/>
                <w:szCs w:val="18"/>
              </w:rPr>
            </w:pPr>
            <w:r w:rsidRPr="00492BED">
              <w:rPr>
                <w:rFonts w:ascii="Arial TUR" w:hAnsi="Arial TUR" w:cs="Arial TUR"/>
                <w:sz w:val="18"/>
                <w:szCs w:val="18"/>
              </w:rPr>
              <w:t>Miktarı (Adet )</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18"/>
                <w:szCs w:val="18"/>
              </w:rPr>
            </w:pPr>
            <w:r>
              <w:rPr>
                <w:rFonts w:ascii="Arial TUR" w:hAnsi="Arial TUR" w:cs="Arial TUR"/>
                <w:sz w:val="18"/>
                <w:szCs w:val="18"/>
              </w:rPr>
              <w:t>Birim Fiyatı</w:t>
            </w: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1</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Asma Davul Küçük Boy</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1. KALİTE</w:t>
            </w:r>
            <w:r>
              <w:rPr>
                <w:rFonts w:ascii="Arial TUR" w:hAnsi="Arial TUR" w:cs="Arial TUR"/>
                <w:sz w:val="20"/>
              </w:rPr>
              <w:t xml:space="preserve"> en az 30 cm geniliğinde askı kolu ve ritim sopaları ile beraber olacak</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3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2</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Asma Davul Büyük Boy</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1. KALİTE</w:t>
            </w:r>
            <w:r>
              <w:rPr>
                <w:rFonts w:ascii="Arial TUR" w:hAnsi="Arial TUR" w:cs="Arial TUR"/>
                <w:sz w:val="20"/>
              </w:rPr>
              <w:t>,</w:t>
            </w:r>
            <w:r w:rsidRPr="00492BED">
              <w:rPr>
                <w:rFonts w:ascii="Arial TUR" w:hAnsi="Arial TUR" w:cs="Arial TUR"/>
                <w:sz w:val="20"/>
              </w:rPr>
              <w:t>1. KALİTE</w:t>
            </w:r>
            <w:r>
              <w:rPr>
                <w:rFonts w:ascii="Arial TUR" w:hAnsi="Arial TUR" w:cs="Arial TUR"/>
                <w:sz w:val="20"/>
              </w:rPr>
              <w:t xml:space="preserve"> en az 50 cm geniliğinde askı kolu ve ritim sopaları ile beraber olacak</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3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3</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İNŞAAT ARAÇLARI</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TSE STANDARTLARINA UYGUN</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3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4</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MİNİ PİYANO</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TSE STANDARTLARINA UYGUN</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1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5</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LEGO SETİ</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TSE STANDARTLARINA UYGUN</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5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6</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HAFIZA KARTLARI</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TSE STANDARTLARINA UYGUN</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3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7</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MUTFAK SETİ</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TSE STANDARTLARINA UYGUN</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2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r w:rsidR="00B01505" w:rsidRPr="00492BED" w:rsidTr="00B0150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8</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rPr>
                <w:rFonts w:ascii="Arial TUR" w:hAnsi="Arial TUR" w:cs="Arial TUR"/>
                <w:sz w:val="20"/>
              </w:rPr>
            </w:pPr>
            <w:r w:rsidRPr="00492BED">
              <w:rPr>
                <w:rFonts w:ascii="Arial TUR" w:hAnsi="Arial TUR" w:cs="Arial TUR"/>
                <w:sz w:val="20"/>
              </w:rPr>
              <w:t>KÜÇÜK ARABALAR</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B01505" w:rsidRPr="00492BED" w:rsidRDefault="00B01505" w:rsidP="00492BED">
            <w:pPr>
              <w:widowControl/>
              <w:jc w:val="both"/>
              <w:rPr>
                <w:rFonts w:ascii="Arial TUR" w:hAnsi="Arial TUR" w:cs="Arial TUR"/>
                <w:sz w:val="20"/>
              </w:rPr>
            </w:pPr>
            <w:r w:rsidRPr="00492BED">
              <w:rPr>
                <w:rFonts w:ascii="Arial TUR" w:hAnsi="Arial TUR" w:cs="Arial TUR"/>
                <w:sz w:val="20"/>
              </w:rPr>
              <w:t>TSE STANDARTLARINA UYGUN</w:t>
            </w:r>
          </w:p>
        </w:tc>
        <w:tc>
          <w:tcPr>
            <w:tcW w:w="3093" w:type="dxa"/>
            <w:tcBorders>
              <w:top w:val="nil"/>
              <w:left w:val="nil"/>
              <w:bottom w:val="single" w:sz="4" w:space="0" w:color="auto"/>
              <w:right w:val="single" w:sz="4" w:space="0" w:color="auto"/>
            </w:tcBorders>
            <w:shd w:val="clear" w:color="000000" w:fill="FFCC99"/>
            <w:noWrap/>
            <w:vAlign w:val="center"/>
            <w:hideMark/>
          </w:tcPr>
          <w:p w:rsidR="00B01505" w:rsidRPr="00492BED" w:rsidRDefault="00B01505" w:rsidP="00492BED">
            <w:pPr>
              <w:widowControl/>
              <w:jc w:val="center"/>
              <w:rPr>
                <w:rFonts w:ascii="Arial TUR" w:hAnsi="Arial TUR" w:cs="Arial TUR"/>
                <w:sz w:val="20"/>
              </w:rPr>
            </w:pPr>
            <w:r w:rsidRPr="00492BED">
              <w:rPr>
                <w:rFonts w:ascii="Arial TUR" w:hAnsi="Arial TUR" w:cs="Arial TUR"/>
                <w:sz w:val="20"/>
              </w:rPr>
              <w:t>30 ADET</w:t>
            </w:r>
          </w:p>
        </w:tc>
        <w:tc>
          <w:tcPr>
            <w:tcW w:w="503" w:type="dxa"/>
            <w:tcBorders>
              <w:top w:val="nil"/>
              <w:left w:val="nil"/>
              <w:bottom w:val="single" w:sz="4" w:space="0" w:color="auto"/>
              <w:right w:val="single" w:sz="4" w:space="0" w:color="auto"/>
            </w:tcBorders>
            <w:shd w:val="clear" w:color="000000" w:fill="FFCC99"/>
          </w:tcPr>
          <w:p w:rsidR="00B01505" w:rsidRPr="00492BED" w:rsidRDefault="00B01505" w:rsidP="00492BED">
            <w:pPr>
              <w:widowControl/>
              <w:jc w:val="center"/>
              <w:rPr>
                <w:rFonts w:ascii="Arial TUR" w:hAnsi="Arial TUR" w:cs="Arial TUR"/>
                <w:sz w:val="20"/>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33691E">
        <w:t>Yenievler İlkokulu Müdürlüğü</w:t>
      </w:r>
      <w:r w:rsidR="0033691E" w:rsidRPr="00904B8E">
        <w:rPr>
          <w:szCs w:val="24"/>
        </w:rPr>
        <w:t xml:space="preserve"> </w:t>
      </w:r>
      <w:r w:rsidR="0033691E">
        <w:rPr>
          <w:szCs w:val="24"/>
        </w:rPr>
        <w:t xml:space="preserve">ne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lastRenderedPageBreak/>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B01505">
        <w:rPr>
          <w:b/>
          <w:bCs/>
          <w:szCs w:val="24"/>
        </w:rPr>
        <w:t xml:space="preserve">                              06.12</w:t>
      </w:r>
      <w:r>
        <w:rPr>
          <w:b/>
          <w:bCs/>
          <w:szCs w:val="24"/>
        </w:rPr>
        <w:t>.2022</w:t>
      </w:r>
    </w:p>
    <w:p w:rsidR="007B703A" w:rsidRDefault="007B703A" w:rsidP="00BE6AF9">
      <w:pPr>
        <w:widowControl/>
        <w:jc w:val="both"/>
        <w:rPr>
          <w:b/>
          <w:bCs/>
          <w:szCs w:val="24"/>
        </w:rPr>
      </w:pPr>
      <w:r>
        <w:rPr>
          <w:b/>
          <w:bCs/>
          <w:szCs w:val="24"/>
        </w:rPr>
        <w:t xml:space="preserve">                                                                                                   </w:t>
      </w:r>
      <w:r w:rsidR="0033691E">
        <w:rPr>
          <w:b/>
          <w:bCs/>
          <w:szCs w:val="24"/>
        </w:rPr>
        <w:t xml:space="preserve">                    Ali ANALAY</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E1" w:rsidRDefault="004516E1">
      <w:r>
        <w:separator/>
      </w:r>
    </w:p>
  </w:endnote>
  <w:endnote w:type="continuationSeparator" w:id="0">
    <w:p w:rsidR="004516E1" w:rsidRDefault="004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0A1BB9">
        <w:pPr>
          <w:pStyle w:val="AltBilgi"/>
          <w:jc w:val="center"/>
        </w:pPr>
        <w:r>
          <w:fldChar w:fldCharType="begin"/>
        </w:r>
        <w:r w:rsidR="004F1B17">
          <w:instrText>PAGE   \* MERGEFORMAT</w:instrText>
        </w:r>
        <w:r>
          <w:fldChar w:fldCharType="separate"/>
        </w:r>
        <w:r w:rsidR="00C25739">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E1" w:rsidRDefault="004516E1">
      <w:r>
        <w:separator/>
      </w:r>
    </w:p>
  </w:footnote>
  <w:footnote w:type="continuationSeparator" w:id="0">
    <w:p w:rsidR="004516E1" w:rsidRDefault="00451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1BB9"/>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41925"/>
    <w:rsid w:val="00341F67"/>
    <w:rsid w:val="00342264"/>
    <w:rsid w:val="0034561D"/>
    <w:rsid w:val="00350EBB"/>
    <w:rsid w:val="00355916"/>
    <w:rsid w:val="00357860"/>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16E1"/>
    <w:rsid w:val="00452516"/>
    <w:rsid w:val="0045589E"/>
    <w:rsid w:val="00457FA8"/>
    <w:rsid w:val="00476723"/>
    <w:rsid w:val="00492BED"/>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5EF"/>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1505"/>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739"/>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7C09FEC-4C51-469F-8E02-6483B6D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99709686">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942C-7EB9-4425-9876-E1F738D8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Yusuf</cp:lastModifiedBy>
  <cp:revision>2</cp:revision>
  <cp:lastPrinted>2019-04-11T11:58:00Z</cp:lastPrinted>
  <dcterms:created xsi:type="dcterms:W3CDTF">2022-12-08T06:41:00Z</dcterms:created>
  <dcterms:modified xsi:type="dcterms:W3CDTF">2022-12-08T06:41:00Z</dcterms:modified>
</cp:coreProperties>
</file>